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B03C" w14:textId="77777777" w:rsidR="00427C93" w:rsidRPr="00B0616A" w:rsidRDefault="00427C93" w:rsidP="00427C93">
      <w:pPr>
        <w:spacing w:after="21"/>
        <w:ind w:right="554"/>
        <w:jc w:val="right"/>
        <w:rPr>
          <w:lang w:val="uk-UA"/>
        </w:rPr>
      </w:pPr>
    </w:p>
    <w:p w14:paraId="5C8ABDF1" w14:textId="77777777" w:rsidR="009C2CBC" w:rsidRPr="00B0616A" w:rsidRDefault="009C2CBC" w:rsidP="009C2CBC">
      <w:pPr>
        <w:spacing w:after="23"/>
        <w:ind w:right="297"/>
        <w:jc w:val="center"/>
        <w:rPr>
          <w:b/>
          <w:bCs/>
          <w:lang w:val="uk-UA"/>
        </w:rPr>
      </w:pPr>
      <w:r w:rsidRPr="00B0616A">
        <w:rPr>
          <w:b/>
          <w:bCs/>
          <w:lang w:val="uk-UA"/>
        </w:rPr>
        <w:t xml:space="preserve">Оголошення на проведення добору персоналу (призначення) </w:t>
      </w:r>
    </w:p>
    <w:p w14:paraId="53E8E53B" w14:textId="51A5AFC0" w:rsidR="00427C93" w:rsidRPr="00B0616A" w:rsidRDefault="009C2CBC" w:rsidP="009C2CBC">
      <w:pPr>
        <w:ind w:right="98"/>
        <w:jc w:val="center"/>
        <w:rPr>
          <w:lang w:val="uk-UA"/>
        </w:rPr>
      </w:pPr>
      <w:r w:rsidRPr="00B0616A">
        <w:rPr>
          <w:b/>
          <w:bCs/>
          <w:color w:val="000000"/>
          <w:shd w:val="clear" w:color="auto" w:fill="FFFFFF"/>
          <w:lang w:val="uk-UA"/>
        </w:rPr>
        <w:t xml:space="preserve">на посаду державної служби </w:t>
      </w:r>
      <w:r w:rsidRPr="00B0616A">
        <w:rPr>
          <w:b/>
          <w:bCs/>
          <w:lang w:val="uk-UA"/>
        </w:rPr>
        <w:t>на період дії воєнного стану</w:t>
      </w:r>
    </w:p>
    <w:p w14:paraId="28AEFBAD" w14:textId="77777777" w:rsidR="00427C93" w:rsidRPr="00B0616A" w:rsidRDefault="00427C93" w:rsidP="00427C93">
      <w:pPr>
        <w:ind w:right="98"/>
        <w:jc w:val="center"/>
        <w:rPr>
          <w:lang w:val="uk-UA"/>
        </w:rPr>
      </w:pPr>
    </w:p>
    <w:tbl>
      <w:tblPr>
        <w:tblStyle w:val="TableGrid"/>
        <w:tblW w:w="9923" w:type="dxa"/>
        <w:tblInd w:w="-147" w:type="dxa"/>
        <w:tblCellMar>
          <w:top w:w="75" w:type="dxa"/>
          <w:left w:w="142" w:type="dxa"/>
          <w:right w:w="82" w:type="dxa"/>
        </w:tblCellMar>
        <w:tblLook w:val="00A0" w:firstRow="1" w:lastRow="0" w:firstColumn="1" w:lastColumn="0" w:noHBand="0" w:noVBand="0"/>
      </w:tblPr>
      <w:tblGrid>
        <w:gridCol w:w="434"/>
        <w:gridCol w:w="2552"/>
        <w:gridCol w:w="6937"/>
      </w:tblGrid>
      <w:tr w:rsidR="00427C93" w:rsidRPr="00B0616A" w14:paraId="1BAA1CC6" w14:textId="77777777" w:rsidTr="005346F1"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D42" w14:textId="77777777" w:rsidR="00427C93" w:rsidRPr="00B0616A" w:rsidRDefault="00427C93" w:rsidP="0048441A">
            <w:pPr>
              <w:ind w:right="62"/>
              <w:jc w:val="center"/>
              <w:rPr>
                <w:b/>
                <w:bCs/>
                <w:lang w:val="uk-UA"/>
              </w:rPr>
            </w:pPr>
            <w:r w:rsidRPr="00B0616A">
              <w:rPr>
                <w:b/>
                <w:bCs/>
                <w:lang w:val="uk-UA"/>
              </w:rPr>
              <w:t xml:space="preserve">Загальні умови </w:t>
            </w:r>
          </w:p>
        </w:tc>
      </w:tr>
      <w:tr w:rsidR="00427C93" w:rsidRPr="00B0616A" w14:paraId="0F987585" w14:textId="77777777" w:rsidTr="005346F1">
        <w:trPr>
          <w:trHeight w:val="75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BB4" w14:textId="77777777" w:rsidR="00427C93" w:rsidRPr="00B0616A" w:rsidRDefault="00427C93" w:rsidP="0048441A">
            <w:pPr>
              <w:rPr>
                <w:lang w:val="uk-UA"/>
              </w:rPr>
            </w:pPr>
            <w:r w:rsidRPr="00B0616A">
              <w:rPr>
                <w:color w:val="333333"/>
                <w:lang w:val="uk-UA"/>
              </w:rPr>
              <w:t>Назва та категорія посади, стосовно якої прийнято рішення про необхідність призначення</w:t>
            </w:r>
            <w:r w:rsidRPr="00B0616A">
              <w:rPr>
                <w:color w:val="333333"/>
                <w:lang w:val="uk-UA"/>
              </w:rPr>
              <w:tab/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7117" w14:textId="36386AD4" w:rsidR="00E10F07" w:rsidRPr="00B0616A" w:rsidRDefault="00E10F07" w:rsidP="00E6398D">
            <w:pPr>
              <w:ind w:right="58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Головний </w:t>
            </w:r>
            <w:r w:rsidR="00E6398D" w:rsidRPr="00B0616A">
              <w:rPr>
                <w:lang w:val="uk-UA"/>
              </w:rPr>
              <w:t>спеціаліст-юрисконсульт юридичного сектору</w:t>
            </w:r>
            <w:r w:rsidR="006348E2" w:rsidRPr="00B0616A">
              <w:rPr>
                <w:lang w:val="uk-UA"/>
              </w:rPr>
              <w:t xml:space="preserve"> Управління</w:t>
            </w:r>
            <w:r w:rsidR="008B566A" w:rsidRPr="00B0616A">
              <w:rPr>
                <w:lang w:val="uk-UA"/>
              </w:rPr>
              <w:t xml:space="preserve"> </w:t>
            </w:r>
            <w:r w:rsidRPr="00B0616A">
              <w:rPr>
                <w:lang w:val="uk-UA"/>
              </w:rPr>
              <w:t>Південного офісу Держаудитслужби</w:t>
            </w:r>
            <w:r w:rsidR="006348E2" w:rsidRPr="00B0616A">
              <w:rPr>
                <w:lang w:val="uk-UA"/>
              </w:rPr>
              <w:t xml:space="preserve"> в Херсонській області</w:t>
            </w:r>
            <w:r w:rsidRPr="00B0616A">
              <w:rPr>
                <w:lang w:val="uk-UA"/>
              </w:rPr>
              <w:t>,</w:t>
            </w:r>
            <w:r w:rsidR="008B566A" w:rsidRPr="00B0616A">
              <w:rPr>
                <w:lang w:val="uk-UA"/>
              </w:rPr>
              <w:t xml:space="preserve"> </w:t>
            </w:r>
            <w:r w:rsidRPr="00B0616A">
              <w:rPr>
                <w:lang w:val="uk-UA"/>
              </w:rPr>
              <w:t xml:space="preserve">категорія посади </w:t>
            </w:r>
            <w:r w:rsidR="005346F1" w:rsidRPr="00B0616A">
              <w:rPr>
                <w:lang w:val="uk-UA"/>
              </w:rPr>
              <w:t>«</w:t>
            </w:r>
            <w:r w:rsidRPr="00B0616A">
              <w:rPr>
                <w:lang w:val="uk-UA"/>
              </w:rPr>
              <w:t>В»</w:t>
            </w:r>
            <w:r w:rsidR="00634360" w:rsidRPr="00B0616A">
              <w:rPr>
                <w:lang w:val="uk-UA"/>
              </w:rPr>
              <w:t xml:space="preserve"> </w:t>
            </w:r>
          </w:p>
        </w:tc>
      </w:tr>
      <w:tr w:rsidR="00427C93" w:rsidRPr="00B0616A" w14:paraId="64BA7638" w14:textId="77777777" w:rsidTr="005346F1">
        <w:trPr>
          <w:trHeight w:val="75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F3" w14:textId="77777777" w:rsidR="00427C93" w:rsidRPr="00B0616A" w:rsidRDefault="00427C93" w:rsidP="0048441A">
            <w:pPr>
              <w:rPr>
                <w:lang w:val="uk-UA"/>
              </w:rPr>
            </w:pPr>
            <w:r w:rsidRPr="00B0616A">
              <w:rPr>
                <w:lang w:val="uk-UA"/>
              </w:rPr>
              <w:t>Посадові обов’язки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A21C" w14:textId="3E8EA784" w:rsidR="00427C93" w:rsidRPr="00B0616A" w:rsidRDefault="003350F3" w:rsidP="003350F3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="001F4FA8" w:rsidRPr="00B0616A">
              <w:rPr>
                <w:lang w:val="uk-UA"/>
              </w:rPr>
              <w:t>здійснення юридичного супроводу контрольних заходів (ревізій, перевірок) в тому числі надання службовою запискою структурним підрозділам Управління переліку нормативно-правових актів необхідних під час підготовки до ревізії, погодження програми ревізій; за зверненнями підрозділів, що проводять контрольні заходи, надання їм  методологічної допомоги та сприяння правильному застосуванню актів законодавства при кваліфікації  виявлених в ході контрольних заходів фінансових порушень</w:t>
            </w:r>
            <w:r w:rsidRPr="00B0616A">
              <w:rPr>
                <w:lang w:val="uk-UA"/>
              </w:rPr>
              <w:t>;</w:t>
            </w:r>
          </w:p>
          <w:p w14:paraId="51771C91" w14:textId="285DEF3A" w:rsidR="003350F3" w:rsidRPr="00B0616A" w:rsidRDefault="003350F3" w:rsidP="003350F3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="001F4FA8" w:rsidRPr="00B0616A">
              <w:rPr>
                <w:lang w:val="uk-UA"/>
              </w:rPr>
              <w:t xml:space="preserve">здійснення аналізу судової практики Держаудитслужби та її міжрегіональних територіальних органів з питань адміністративного провадження та про стягнення збитків, за результатами якого </w:t>
            </w:r>
            <w:r w:rsidR="005F7FC3" w:rsidRPr="00B0616A">
              <w:rPr>
                <w:lang w:val="uk-UA"/>
              </w:rPr>
              <w:t>подання пропозицій</w:t>
            </w:r>
            <w:r w:rsidR="001F4FA8" w:rsidRPr="00B0616A">
              <w:rPr>
                <w:lang w:val="uk-UA"/>
              </w:rPr>
              <w:t xml:space="preserve"> щодо вирішення проблемних питань</w:t>
            </w:r>
            <w:r w:rsidRPr="00B0616A">
              <w:rPr>
                <w:lang w:val="uk-UA"/>
              </w:rPr>
              <w:t>;</w:t>
            </w:r>
          </w:p>
          <w:p w14:paraId="4B14DC28" w14:textId="220B7A8D" w:rsidR="003350F3" w:rsidRPr="00B0616A" w:rsidRDefault="003350F3" w:rsidP="003526E8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="005F7FC3" w:rsidRPr="00B0616A">
              <w:rPr>
                <w:lang w:val="uk-UA"/>
              </w:rPr>
              <w:t>узагальнення практики застосування законодавства з питань, що належать до компетенції Управління, підготовка та подання пропозицій керівництву щодо його вдосконалення</w:t>
            </w:r>
            <w:r w:rsidR="00C81104" w:rsidRPr="00B0616A">
              <w:rPr>
                <w:lang w:val="uk-UA"/>
              </w:rPr>
              <w:t>;</w:t>
            </w:r>
          </w:p>
          <w:p w14:paraId="43638C35" w14:textId="234060AD" w:rsidR="00C81104" w:rsidRPr="00B0616A" w:rsidRDefault="00C81104" w:rsidP="003526E8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>-</w:t>
            </w:r>
            <w:r w:rsidR="00E36337" w:rsidRPr="00B0616A">
              <w:rPr>
                <w:lang w:val="uk-UA"/>
              </w:rPr>
              <w:t> </w:t>
            </w:r>
            <w:r w:rsidR="00D67CB3" w:rsidRPr="00B0616A">
              <w:rPr>
                <w:lang w:val="uk-UA"/>
              </w:rPr>
              <w:t>представництво в установленому законодавством порядку інтересів Управління в судах і інших органах під час розгляду правових питань і спорів. Аналіз матеріалів судових органів, результатів претензійної та позовної роботи, а також отриманих за результатами перевірок, ревізій, інвентаризаційних даних, що характеризують стан дотримання законності, підготовка правових висновків за фактами виявлених правопорушень та участь в організації роботи з відшкодування збитків</w:t>
            </w:r>
            <w:r w:rsidR="00E36337" w:rsidRPr="00B0616A">
              <w:rPr>
                <w:lang w:val="uk-UA"/>
              </w:rPr>
              <w:t>;</w:t>
            </w:r>
          </w:p>
          <w:p w14:paraId="4FF24C40" w14:textId="2E9ADD0A" w:rsidR="007B3B73" w:rsidRPr="00B0616A" w:rsidRDefault="007B3B73" w:rsidP="003526E8">
            <w:pPr>
              <w:spacing w:after="43" w:line="253" w:lineRule="auto"/>
              <w:ind w:left="5" w:right="60" w:hanging="5"/>
              <w:jc w:val="both"/>
              <w:rPr>
                <w:color w:val="000000"/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Pr="00B0616A">
              <w:rPr>
                <w:color w:val="000000"/>
                <w:lang w:val="uk-UA"/>
              </w:rPr>
              <w:t>за дорученням керівництва Відділу розгляд звернень громадян, підприємств, установ та організацій, а також звернень та запитів народних депутатів України, за результатами їх розгляду подання керівництву пропозицій щодо вжиття відповідних заходів згідно з чинним законодавством;</w:t>
            </w:r>
          </w:p>
          <w:p w14:paraId="061EA4B9" w14:textId="2D506947" w:rsidR="00DA1E6B" w:rsidRPr="00B0616A" w:rsidRDefault="00DA1E6B" w:rsidP="003526E8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>- за поданням галузевих підрозділів Управління звернення до суду в інтересах держави згідно з чинним законодавством. Забезпечення супроводу розгляду, внесення відповідних пропозицій до листів (підготовка яких здійснюється іншими відділами Управління) щодо передачі матеріалів контрольних заходів або інформування правоохоронних органів;</w:t>
            </w:r>
          </w:p>
          <w:p w14:paraId="00E38F61" w14:textId="2025A32F" w:rsidR="001609E2" w:rsidRPr="00B0616A" w:rsidRDefault="001609E2" w:rsidP="003526E8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розгляд, візування або подання відповідних пропозицій щодо проектів вимог про усунення порушень, які направляються підконтрольним об'єктам. Ведення діловодства у секторі, обліку довіреностей, виданих Офісом, Держаудитслужбою та </w:t>
            </w:r>
            <w:r w:rsidRPr="00B0616A">
              <w:rPr>
                <w:lang w:val="uk-UA"/>
              </w:rPr>
              <w:lastRenderedPageBreak/>
              <w:t>забезпечення їх збереження. Розгляд та візування складених посадовими особами  структурних підрозділів Управління проектів протоколів про адміністративні правопорушення та подання пропозицій структурним підрозділам  Управління щодо складання постанов у справах про адміністративні правопорушення  або щодо направлення матеріалів до суду; проектів постанов у справах про адміністративні правопорушення; поданих структурними підрозділами Управління матеріалів щодо застосування заходів впливу за порушення бюджетного законодавства;</w:t>
            </w:r>
          </w:p>
          <w:p w14:paraId="5EF1FE64" w14:textId="385EED2A" w:rsidR="001609E2" w:rsidRPr="00B0616A" w:rsidRDefault="001609E2" w:rsidP="003526E8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="00A832C7" w:rsidRPr="00B0616A">
              <w:rPr>
                <w:lang w:val="uk-UA"/>
              </w:rPr>
              <w:t>розробка і здійснення заходів, спрямованих на забезпечення правильного застосування працівниками Управління чинного законодавства. Здійснення моніторингу змін у чинному законодавстві з питань діяльності Управління. Забезпечення ведення та складання звітності про результати роботи  за встановленою періодичністю. В оперативному порядку вирішення питань представництва інтересів Управління в суді за дорученням Управління по даній категорії справ;</w:t>
            </w:r>
          </w:p>
          <w:p w14:paraId="5311EE4D" w14:textId="77777777" w:rsidR="00E36337" w:rsidRPr="00B0616A" w:rsidRDefault="00E36337" w:rsidP="00D5783A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- </w:t>
            </w:r>
            <w:r w:rsidR="00D5783A" w:rsidRPr="00B0616A">
              <w:rPr>
                <w:lang w:val="uk-UA"/>
              </w:rPr>
              <w:t>вжиття заходів щодо налагодження ефективної взаємодії з органами державної виконавчої служби в (ознайомлення з матеріалами виконавчого провадження, участь у виїздах  робочої групи на місце знаходження боржника, участь в спільних нарадах з ВДВС, оскарження неправомірних дій державних виконавців) з метою повного виконання рішень, винесених судами на користь Управління;</w:t>
            </w:r>
          </w:p>
          <w:p w14:paraId="37DA6348" w14:textId="77777777" w:rsidR="00D5783A" w:rsidRPr="00B0616A" w:rsidRDefault="00D5783A" w:rsidP="003C19EB">
            <w:pPr>
              <w:spacing w:after="43" w:line="253" w:lineRule="auto"/>
              <w:ind w:left="5" w:right="60" w:hanging="5"/>
              <w:jc w:val="both"/>
              <w:rPr>
                <w:color w:val="000000"/>
                <w:lang w:val="uk-UA"/>
              </w:rPr>
            </w:pPr>
            <w:r w:rsidRPr="00B0616A">
              <w:rPr>
                <w:lang w:val="uk-UA"/>
              </w:rPr>
              <w:t>-</w:t>
            </w:r>
            <w:r w:rsidR="003C19EB" w:rsidRPr="00B0616A">
              <w:rPr>
                <w:lang w:val="uk-UA"/>
              </w:rPr>
              <w:t xml:space="preserve"> забезпечення захисту інформації з обмеженим доступом відповідно до чинного законодавства, дотримання Правил внутрішнього службового розпорядку, законодавства з питань державної служби та боротьби з корупцією, </w:t>
            </w:r>
            <w:r w:rsidR="003C19EB" w:rsidRPr="00B0616A">
              <w:rPr>
                <w:color w:val="000000"/>
                <w:lang w:val="uk-UA"/>
              </w:rPr>
              <w:t>правил етичної поведінки та внутрішнього трудового розпорядку, недопущення вчинків, несумісних зі статусом державного службовця, знання правил і норм охорони праці та протипожежного захисту;</w:t>
            </w:r>
          </w:p>
          <w:p w14:paraId="6892D9CD" w14:textId="6C640BFE" w:rsidR="003C19EB" w:rsidRPr="00B0616A" w:rsidRDefault="003C19EB" w:rsidP="003C19EB">
            <w:pPr>
              <w:spacing w:after="43" w:line="253" w:lineRule="auto"/>
              <w:ind w:left="5" w:right="60" w:hanging="5"/>
              <w:jc w:val="both"/>
              <w:rPr>
                <w:lang w:val="uk-UA"/>
              </w:rPr>
            </w:pPr>
            <w:r w:rsidRPr="00B0616A">
              <w:rPr>
                <w:color w:val="000000"/>
                <w:lang w:val="uk-UA"/>
              </w:rPr>
              <w:t xml:space="preserve">- </w:t>
            </w:r>
            <w:r w:rsidRPr="00B0616A">
              <w:rPr>
                <w:rStyle w:val="FontStyle8"/>
                <w:sz w:val="24"/>
                <w:szCs w:val="24"/>
                <w:lang w:val="uk-UA"/>
              </w:rPr>
              <w:t>участь у роботі з підвищення кваліфікації працівників підрозділу згідно із затвердженим планом, с</w:t>
            </w:r>
            <w:r w:rsidRPr="00B0616A">
              <w:rPr>
                <w:bCs/>
                <w:color w:val="000000"/>
                <w:spacing w:val="-6"/>
                <w:lang w:val="uk-UA"/>
              </w:rPr>
              <w:t>истематичне вдосконалення організації своєї роботи, підвищення особистого професійного рівня шляхом самоосвіти</w:t>
            </w:r>
            <w:r w:rsidRPr="00B0616A">
              <w:rPr>
                <w:rStyle w:val="FontStyle8"/>
                <w:sz w:val="24"/>
                <w:szCs w:val="24"/>
                <w:lang w:val="uk-UA"/>
              </w:rPr>
              <w:t xml:space="preserve">. Здійснення роботи з документами згідно з чинним законодавством. </w:t>
            </w:r>
            <w:r w:rsidRPr="00B0616A">
              <w:rPr>
                <w:lang w:val="uk-UA"/>
              </w:rPr>
              <w:t>Виконання інших доручень керівництва Управління.</w:t>
            </w:r>
          </w:p>
        </w:tc>
      </w:tr>
      <w:tr w:rsidR="005346F1" w:rsidRPr="00B0616A" w14:paraId="65CA1883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374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FFF" w14:textId="77777777" w:rsidR="005346F1" w:rsidRPr="00B0616A" w:rsidRDefault="005346F1" w:rsidP="005346F1">
            <w:pPr>
              <w:ind w:left="14"/>
              <w:rPr>
                <w:lang w:val="uk-UA"/>
              </w:rPr>
            </w:pPr>
            <w:r w:rsidRPr="00B0616A">
              <w:rPr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6EA" w14:textId="11E66D95" w:rsidR="005346F1" w:rsidRPr="00B0616A" w:rsidRDefault="005346F1" w:rsidP="005346F1">
            <w:pPr>
              <w:pStyle w:val="a5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0616A">
              <w:rPr>
                <w:sz w:val="24"/>
                <w:szCs w:val="24"/>
              </w:rPr>
              <w:t>1) посадовий оклад – 2</w:t>
            </w:r>
            <w:r w:rsidR="00746881" w:rsidRPr="00B0616A">
              <w:rPr>
                <w:sz w:val="24"/>
                <w:szCs w:val="24"/>
              </w:rPr>
              <w:t>3</w:t>
            </w:r>
            <w:r w:rsidRPr="00B0616A">
              <w:rPr>
                <w:sz w:val="24"/>
                <w:szCs w:val="24"/>
              </w:rPr>
              <w:t xml:space="preserve"> </w:t>
            </w:r>
            <w:r w:rsidR="00746881" w:rsidRPr="00B0616A">
              <w:rPr>
                <w:sz w:val="24"/>
                <w:szCs w:val="24"/>
              </w:rPr>
              <w:t>464</w:t>
            </w:r>
            <w:r w:rsidRPr="00B0616A">
              <w:rPr>
                <w:sz w:val="24"/>
                <w:szCs w:val="24"/>
              </w:rPr>
              <w:t xml:space="preserve"> гривень;</w:t>
            </w:r>
          </w:p>
          <w:p w14:paraId="1913B027" w14:textId="2EA526E9" w:rsidR="005346F1" w:rsidRPr="00B0616A" w:rsidRDefault="005346F1" w:rsidP="005346F1">
            <w:pPr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2) надбавки, доплати, премії та компенсації відповідно до статті </w:t>
            </w:r>
            <w:r w:rsidR="004F3832">
              <w:rPr>
                <w:lang w:val="uk-UA"/>
              </w:rPr>
              <w:t>6</w:t>
            </w:r>
            <w:r w:rsidR="004F3832">
              <w:rPr>
                <w:vertAlign w:val="superscript"/>
                <w:lang w:val="uk-UA"/>
              </w:rPr>
              <w:t>1</w:t>
            </w:r>
            <w:r w:rsidRPr="00B0616A">
              <w:rPr>
                <w:lang w:val="uk-UA"/>
              </w:rPr>
              <w:t xml:space="preserve"> Закону України «Про </w:t>
            </w:r>
            <w:r w:rsidR="004F3832">
              <w:rPr>
                <w:lang w:val="uk-UA"/>
              </w:rPr>
              <w:t>основні засади здійснення державного фінансового контролю в Україні</w:t>
            </w:r>
            <w:r w:rsidRPr="00B0616A">
              <w:rPr>
                <w:lang w:val="uk-UA"/>
              </w:rPr>
              <w:t>»;</w:t>
            </w:r>
          </w:p>
          <w:p w14:paraId="67E20AED" w14:textId="3C8727FE" w:rsidR="005346F1" w:rsidRPr="00B0616A" w:rsidRDefault="005346F1" w:rsidP="005346F1">
            <w:pPr>
              <w:rPr>
                <w:lang w:val="uk-UA"/>
              </w:rPr>
            </w:pPr>
            <w:r w:rsidRPr="00B0616A">
              <w:rPr>
                <w:lang w:val="uk-UA"/>
              </w:rPr>
              <w:t>Працівник може бути направлений в службове відрядження для виконання своїх посадових обов’язків поза межами тимчасового місця знаходження управління (в межах України)</w:t>
            </w:r>
          </w:p>
        </w:tc>
      </w:tr>
      <w:tr w:rsidR="005346F1" w:rsidRPr="00B0616A" w14:paraId="744BC2AA" w14:textId="77777777" w:rsidTr="004F3832">
        <w:tblPrEx>
          <w:tblCellMar>
            <w:top w:w="29" w:type="dxa"/>
            <w:left w:w="127" w:type="dxa"/>
            <w:right w:w="59" w:type="dxa"/>
          </w:tblCellMar>
        </w:tblPrEx>
        <w:trPr>
          <w:trHeight w:val="38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172" w14:textId="77777777" w:rsidR="005346F1" w:rsidRPr="00B0616A" w:rsidRDefault="005346F1" w:rsidP="005346F1">
            <w:pPr>
              <w:ind w:left="14"/>
              <w:rPr>
                <w:lang w:val="uk-UA"/>
              </w:rPr>
            </w:pPr>
            <w:r w:rsidRPr="00B0616A">
              <w:rPr>
                <w:lang w:val="uk-UA"/>
              </w:rPr>
              <w:t xml:space="preserve">Інформація про строковість призначення на посаду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2AF" w14:textId="2AA52681" w:rsidR="005346F1" w:rsidRPr="00B0616A" w:rsidRDefault="00B0616A" w:rsidP="005346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5346F1" w:rsidRPr="00B0616A">
              <w:rPr>
                <w:lang w:val="uk-UA"/>
              </w:rPr>
              <w:t>а період дії воєнного стану та до дня визначення суб’єктом призначення або керівником державної служби переможця за результатами конкурсу відповідно до законодавства, але не більше ніж 12 місяців з дня припинення чи скасування воєнного стану</w:t>
            </w:r>
          </w:p>
          <w:p w14:paraId="0FA97DCC" w14:textId="06783B25" w:rsidR="005346F1" w:rsidRPr="00B0616A" w:rsidRDefault="00336B07" w:rsidP="00F32815">
            <w:pPr>
              <w:ind w:right="58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lastRenderedPageBreak/>
              <w:t xml:space="preserve">Місце роботи м. </w:t>
            </w:r>
            <w:r w:rsidR="00F32815" w:rsidRPr="00B0616A">
              <w:rPr>
                <w:lang w:val="uk-UA"/>
              </w:rPr>
              <w:t>Херсон</w:t>
            </w:r>
            <w:r w:rsidRPr="00B0616A">
              <w:rPr>
                <w:lang w:val="uk-UA"/>
              </w:rPr>
              <w:t xml:space="preserve">, </w:t>
            </w:r>
            <w:r w:rsidR="00F32815" w:rsidRPr="00B0616A">
              <w:rPr>
                <w:lang w:val="uk-UA"/>
              </w:rPr>
              <w:t>вул. Преображенська, 28</w:t>
            </w:r>
          </w:p>
        </w:tc>
      </w:tr>
      <w:tr w:rsidR="005346F1" w:rsidRPr="00B0616A" w14:paraId="428D5B5A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99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F82" w14:textId="77777777" w:rsidR="005346F1" w:rsidRPr="00B0616A" w:rsidRDefault="005346F1" w:rsidP="005346F1">
            <w:pPr>
              <w:ind w:left="14"/>
              <w:rPr>
                <w:lang w:val="uk-UA"/>
              </w:rPr>
            </w:pPr>
            <w:r w:rsidRPr="00B0616A">
              <w:rPr>
                <w:lang w:val="uk-UA"/>
              </w:rPr>
              <w:lastRenderedPageBreak/>
              <w:t>Перелік інформації, необхідної для участі в доборі, зокрема спосіб подання, адреса та строк їх подання</w:t>
            </w:r>
          </w:p>
          <w:p w14:paraId="26C6397F" w14:textId="77777777" w:rsidR="005346F1" w:rsidRPr="00B0616A" w:rsidRDefault="005346F1" w:rsidP="005346F1">
            <w:pPr>
              <w:rPr>
                <w:i/>
                <w:lang w:val="uk-UA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88A" w14:textId="67A15251" w:rsidR="005346F1" w:rsidRPr="00B0616A" w:rsidRDefault="005346F1" w:rsidP="005346F1">
            <w:pPr>
              <w:rPr>
                <w:i/>
                <w:color w:val="FF0000"/>
                <w:lang w:val="uk-UA"/>
              </w:rPr>
            </w:pPr>
            <w:r w:rsidRPr="00B0616A">
              <w:rPr>
                <w:lang w:val="uk-UA"/>
              </w:rPr>
              <w:t xml:space="preserve">Особа, яка бажає взяти участь у доборі з призначення на вакантну посаду, подає таку інформацію на електронну адресу </w:t>
            </w:r>
            <w:hyperlink r:id="rId5" w:history="1">
              <w:r w:rsidRPr="00B0616A">
                <w:rPr>
                  <w:lang w:val="uk-UA"/>
                </w:rPr>
                <w:t xml:space="preserve"> </w:t>
              </w:r>
              <w:hyperlink r:id="rId6" w:history="1">
                <w:r w:rsidR="00336B07" w:rsidRPr="00B0616A">
                  <w:rPr>
                    <w:rStyle w:val="a3"/>
                    <w:lang w:val="uk-UA"/>
                  </w:rPr>
                  <w:t>v.o.chikalova@dasu.gov.ua</w:t>
                </w:r>
              </w:hyperlink>
            </w:hyperlink>
            <w:r w:rsidRPr="00B0616A">
              <w:rPr>
                <w:lang w:val="uk-UA"/>
              </w:rPr>
              <w:t>:</w:t>
            </w:r>
          </w:p>
          <w:p w14:paraId="76AC3B5C" w14:textId="77777777" w:rsidR="005346F1" w:rsidRPr="00B0616A" w:rsidRDefault="005346F1" w:rsidP="005346F1">
            <w:pPr>
              <w:rPr>
                <w:lang w:val="uk-UA"/>
              </w:rPr>
            </w:pPr>
            <w:r w:rsidRPr="00B0616A">
              <w:rPr>
                <w:lang w:val="uk-UA"/>
              </w:rPr>
              <w:t>резюме за формою згідно з додатком до оголошення.</w:t>
            </w:r>
          </w:p>
          <w:p w14:paraId="486E218C" w14:textId="77777777" w:rsidR="005346F1" w:rsidRPr="00B0616A" w:rsidRDefault="005346F1" w:rsidP="005346F1">
            <w:pPr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>Особа, яка бажає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14:paraId="353B648E" w14:textId="10558EC9" w:rsidR="005346F1" w:rsidRPr="00B0616A" w:rsidRDefault="00336B07" w:rsidP="007B5661">
            <w:pPr>
              <w:ind w:left="30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 xml:space="preserve">Інформація приймається до 18.00 години </w:t>
            </w:r>
            <w:r w:rsidR="007B5661">
              <w:rPr>
                <w:lang w:val="uk-UA"/>
              </w:rPr>
              <w:t>20 березня</w:t>
            </w:r>
            <w:bookmarkStart w:id="0" w:name="_GoBack"/>
            <w:bookmarkEnd w:id="0"/>
            <w:r w:rsidR="00150788">
              <w:rPr>
                <w:lang w:val="uk-UA"/>
              </w:rPr>
              <w:t xml:space="preserve"> 2026 </w:t>
            </w:r>
            <w:r w:rsidRPr="00B0616A">
              <w:rPr>
                <w:lang w:val="uk-UA"/>
              </w:rPr>
              <w:t>року</w:t>
            </w:r>
          </w:p>
        </w:tc>
      </w:tr>
      <w:tr w:rsidR="005346F1" w:rsidRPr="007B5661" w14:paraId="0FC7A82B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1825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546" w14:textId="77777777" w:rsidR="005346F1" w:rsidRPr="00B0616A" w:rsidRDefault="005346F1" w:rsidP="005346F1">
            <w:pPr>
              <w:ind w:left="14" w:right="80"/>
              <w:rPr>
                <w:lang w:val="uk-UA"/>
              </w:rPr>
            </w:pPr>
            <w:r w:rsidRPr="00B0616A">
              <w:rPr>
                <w:color w:val="333333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229" w14:textId="77777777" w:rsidR="005346F1" w:rsidRPr="00B0616A" w:rsidRDefault="005346F1" w:rsidP="005346F1">
            <w:pPr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>Чікалова Вікторія Олексіївна</w:t>
            </w:r>
          </w:p>
          <w:p w14:paraId="27FCCF2E" w14:textId="6F49D5BF" w:rsidR="00B0616A" w:rsidRPr="00B0616A" w:rsidRDefault="00B0616A" w:rsidP="00336B07">
            <w:pPr>
              <w:rPr>
                <w:lang w:val="uk-UA"/>
              </w:rPr>
            </w:pPr>
            <w:r w:rsidRPr="00B0616A">
              <w:rPr>
                <w:lang w:val="uk-UA"/>
              </w:rPr>
              <w:t>тел. (050) 1459340</w:t>
            </w:r>
          </w:p>
          <w:p w14:paraId="5C324681" w14:textId="1187F633" w:rsidR="005346F1" w:rsidRPr="00B0616A" w:rsidRDefault="005346F1" w:rsidP="00336B07">
            <w:pPr>
              <w:rPr>
                <w:lang w:val="uk-UA"/>
              </w:rPr>
            </w:pPr>
            <w:r w:rsidRPr="00B0616A">
              <w:rPr>
                <w:lang w:val="uk-UA"/>
              </w:rPr>
              <w:t>e-</w:t>
            </w:r>
            <w:proofErr w:type="spellStart"/>
            <w:r w:rsidRPr="00B0616A">
              <w:rPr>
                <w:lang w:val="uk-UA"/>
              </w:rPr>
              <w:t>mail</w:t>
            </w:r>
            <w:proofErr w:type="spellEnd"/>
            <w:r w:rsidRPr="00B0616A">
              <w:rPr>
                <w:lang w:val="uk-UA"/>
              </w:rPr>
              <w:t xml:space="preserve">: </w:t>
            </w:r>
            <w:hyperlink r:id="rId7" w:history="1">
              <w:r w:rsidRPr="00B0616A">
                <w:rPr>
                  <w:lang w:val="uk-UA"/>
                </w:rPr>
                <w:t xml:space="preserve"> </w:t>
              </w:r>
              <w:hyperlink r:id="rId8" w:history="1">
                <w:r w:rsidR="00336B07" w:rsidRPr="00B0616A">
                  <w:rPr>
                    <w:rStyle w:val="a3"/>
                    <w:lang w:val="uk-UA"/>
                  </w:rPr>
                  <w:t>v.o.chikalova@dasu.gov.ua</w:t>
                </w:r>
              </w:hyperlink>
            </w:hyperlink>
          </w:p>
        </w:tc>
      </w:tr>
      <w:tr w:rsidR="00427C93" w:rsidRPr="00B0616A" w14:paraId="6EA0C379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346" w14:textId="77777777" w:rsidR="00427C93" w:rsidRPr="00B0616A" w:rsidRDefault="00427C93" w:rsidP="0048441A">
            <w:pPr>
              <w:ind w:right="71"/>
              <w:jc w:val="center"/>
              <w:rPr>
                <w:lang w:val="uk-UA"/>
              </w:rPr>
            </w:pPr>
            <w:r w:rsidRPr="00B0616A">
              <w:rPr>
                <w:b/>
                <w:lang w:val="uk-UA"/>
              </w:rPr>
              <w:t>Кваліфікаційні вимоги *</w:t>
            </w:r>
          </w:p>
        </w:tc>
      </w:tr>
      <w:tr w:rsidR="00427C93" w:rsidRPr="00B0616A" w14:paraId="436D77C0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66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7DA4A" w14:textId="77777777" w:rsidR="00427C93" w:rsidRPr="00B0616A" w:rsidRDefault="00427C93" w:rsidP="0048441A">
            <w:pPr>
              <w:rPr>
                <w:lang w:val="uk-UA"/>
              </w:rPr>
            </w:pPr>
            <w:r w:rsidRPr="00B0616A">
              <w:rPr>
                <w:lang w:val="uk-UA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E20ED" w14:textId="77777777" w:rsidR="00427C93" w:rsidRPr="00B0616A" w:rsidRDefault="00427C93" w:rsidP="0048441A">
            <w:pPr>
              <w:ind w:left="5"/>
              <w:rPr>
                <w:lang w:val="uk-UA"/>
              </w:rPr>
            </w:pPr>
            <w:r w:rsidRPr="00B0616A">
              <w:rPr>
                <w:lang w:val="uk-UA"/>
              </w:rPr>
              <w:t xml:space="preserve">Освіта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1E7FB" w14:textId="382F8181" w:rsidR="00427C93" w:rsidRPr="00B0616A" w:rsidRDefault="00B0616A" w:rsidP="0048441A">
            <w:pPr>
              <w:ind w:left="74" w:right="80"/>
              <w:jc w:val="both"/>
              <w:rPr>
                <w:lang w:val="uk-UA"/>
              </w:rPr>
            </w:pPr>
            <w:r w:rsidRPr="00B0616A">
              <w:rPr>
                <w:lang w:val="uk-UA"/>
              </w:rPr>
              <w:t>Вища освіта у галузі знань «Право» ступеня не нижче  бакалавра, або магістра</w:t>
            </w:r>
          </w:p>
        </w:tc>
      </w:tr>
      <w:tr w:rsidR="00427C93" w:rsidRPr="00B0616A" w14:paraId="0505B89C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52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C59" w14:textId="77777777" w:rsidR="00427C93" w:rsidRPr="00B0616A" w:rsidRDefault="00427C93" w:rsidP="0048441A">
            <w:pPr>
              <w:ind w:left="113"/>
              <w:rPr>
                <w:lang w:val="uk-UA"/>
              </w:rPr>
            </w:pPr>
            <w:r w:rsidRPr="00B0616A">
              <w:rPr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E5E1" w14:textId="77777777" w:rsidR="00427C93" w:rsidRPr="00B0616A" w:rsidRDefault="00427C93" w:rsidP="0048441A">
            <w:pPr>
              <w:ind w:left="118"/>
              <w:rPr>
                <w:lang w:val="uk-UA"/>
              </w:rPr>
            </w:pPr>
            <w:r w:rsidRPr="00B0616A">
              <w:rPr>
                <w:lang w:val="uk-UA"/>
              </w:rPr>
              <w:t xml:space="preserve">Досвід роботи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084" w14:textId="3A31AA7D" w:rsidR="00427C93" w:rsidRPr="00B0616A" w:rsidRDefault="00D1690F" w:rsidP="00B0616A">
            <w:pPr>
              <w:ind w:left="187"/>
              <w:rPr>
                <w:lang w:val="uk-UA"/>
              </w:rPr>
            </w:pPr>
            <w:r w:rsidRPr="00B0616A">
              <w:rPr>
                <w:lang w:val="uk-UA"/>
              </w:rPr>
              <w:t>Не менше 2-х років</w:t>
            </w:r>
          </w:p>
        </w:tc>
      </w:tr>
      <w:tr w:rsidR="00427C93" w:rsidRPr="00B0616A" w14:paraId="252A654B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58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E780" w14:textId="77777777" w:rsidR="00427C93" w:rsidRPr="00B0616A" w:rsidRDefault="00427C93" w:rsidP="0048441A">
            <w:pPr>
              <w:ind w:left="113"/>
              <w:rPr>
                <w:lang w:val="uk-UA"/>
              </w:rPr>
            </w:pPr>
            <w:r w:rsidRPr="00B0616A">
              <w:rPr>
                <w:lang w:val="uk-UA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077F" w14:textId="77777777" w:rsidR="00427C93" w:rsidRPr="00B0616A" w:rsidRDefault="00427C93" w:rsidP="0048441A">
            <w:pPr>
              <w:ind w:left="118"/>
              <w:rPr>
                <w:lang w:val="uk-UA"/>
              </w:rPr>
            </w:pPr>
            <w:r w:rsidRPr="00B0616A">
              <w:rPr>
                <w:lang w:val="uk-UA"/>
              </w:rPr>
              <w:t xml:space="preserve">Знання державної мови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5F7E" w14:textId="717E094F" w:rsidR="00427C93" w:rsidRPr="00B0616A" w:rsidRDefault="00D1690F" w:rsidP="0048441A">
            <w:pPr>
              <w:ind w:left="187"/>
              <w:rPr>
                <w:lang w:val="uk-UA"/>
              </w:rPr>
            </w:pPr>
            <w:r w:rsidRPr="00B0616A">
              <w:rPr>
                <w:lang w:val="uk-UA"/>
              </w:rPr>
              <w:t xml:space="preserve">Вільне володіння </w:t>
            </w:r>
          </w:p>
          <w:p w14:paraId="40AF6E61" w14:textId="77777777" w:rsidR="00427C93" w:rsidRPr="00B0616A" w:rsidRDefault="00427C93" w:rsidP="004D341B">
            <w:pPr>
              <w:rPr>
                <w:lang w:val="uk-UA"/>
              </w:rPr>
            </w:pPr>
          </w:p>
        </w:tc>
      </w:tr>
      <w:tr w:rsidR="00427C93" w:rsidRPr="00B0616A" w14:paraId="5899ADC1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0DB" w14:textId="77777777" w:rsidR="00427C93" w:rsidRPr="00B0616A" w:rsidRDefault="00427C93" w:rsidP="0048441A">
            <w:pPr>
              <w:ind w:left="52"/>
              <w:jc w:val="center"/>
              <w:rPr>
                <w:b/>
                <w:lang w:val="uk-UA"/>
              </w:rPr>
            </w:pPr>
            <w:r w:rsidRPr="00B0616A">
              <w:rPr>
                <w:b/>
                <w:lang w:val="uk-UA"/>
              </w:rPr>
              <w:t>Інші вимоги до професійної компетентності *</w:t>
            </w:r>
          </w:p>
        </w:tc>
      </w:tr>
      <w:tr w:rsidR="00427C93" w:rsidRPr="00B0616A" w14:paraId="17AFB646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31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A0B" w14:textId="77777777" w:rsidR="00427C93" w:rsidRPr="00B0616A" w:rsidRDefault="00427C93" w:rsidP="0048441A">
            <w:pPr>
              <w:ind w:left="52"/>
              <w:jc w:val="center"/>
              <w:rPr>
                <w:lang w:val="uk-UA"/>
              </w:rPr>
            </w:pPr>
            <w:r w:rsidRPr="00B0616A">
              <w:rPr>
                <w:b/>
                <w:lang w:val="uk-UA"/>
              </w:rPr>
              <w:t xml:space="preserve">Вимога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352C" w14:textId="77777777" w:rsidR="00427C93" w:rsidRPr="00B0616A" w:rsidRDefault="00427C93" w:rsidP="0048441A">
            <w:pPr>
              <w:ind w:left="49"/>
              <w:jc w:val="center"/>
              <w:rPr>
                <w:lang w:val="uk-UA"/>
              </w:rPr>
            </w:pPr>
            <w:r w:rsidRPr="00B0616A">
              <w:rPr>
                <w:b/>
                <w:lang w:val="uk-UA"/>
              </w:rPr>
              <w:t xml:space="preserve">Компоненти вимоги </w:t>
            </w:r>
          </w:p>
        </w:tc>
      </w:tr>
      <w:tr w:rsidR="00427C93" w:rsidRPr="00B0616A" w14:paraId="2AD4E5B3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95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460" w14:textId="77777777" w:rsidR="00427C93" w:rsidRPr="00B0616A" w:rsidRDefault="00427C93" w:rsidP="0048441A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284" w14:textId="77777777" w:rsidR="00427C93" w:rsidRPr="00B0616A" w:rsidRDefault="00427C93" w:rsidP="0048441A">
            <w:pPr>
              <w:ind w:left="5"/>
              <w:rPr>
                <w:lang w:val="uk-UA"/>
              </w:rPr>
            </w:pPr>
            <w:r w:rsidRPr="00B0616A">
              <w:rPr>
                <w:lang w:val="uk-UA"/>
              </w:rPr>
              <w:t xml:space="preserve">Знання законодавства у сфері 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980" w14:textId="3785A6F9" w:rsidR="00B0616A" w:rsidRPr="00B0616A" w:rsidRDefault="00BF792C" w:rsidP="00B0616A">
            <w:pPr>
              <w:spacing w:after="42"/>
              <w:ind w:left="307" w:hanging="159"/>
              <w:rPr>
                <w:lang w:val="uk-UA"/>
              </w:rPr>
            </w:pPr>
            <w:r w:rsidRPr="00B0616A">
              <w:rPr>
                <w:lang w:val="uk-UA"/>
              </w:rPr>
              <w:t xml:space="preserve">Знання: </w:t>
            </w:r>
          </w:p>
          <w:p w14:paraId="4ED7E265" w14:textId="77777777" w:rsidR="00B0616A" w:rsidRPr="00B0616A" w:rsidRDefault="00B0616A" w:rsidP="00B0616A">
            <w:pPr>
              <w:tabs>
                <w:tab w:val="left" w:pos="129"/>
              </w:tabs>
              <w:spacing w:after="20"/>
              <w:ind w:left="135" w:right="120" w:hanging="17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Конституції України;</w:t>
            </w:r>
          </w:p>
          <w:p w14:paraId="4B150FF0" w14:textId="77777777" w:rsidR="00B0616A" w:rsidRPr="00B0616A" w:rsidRDefault="00B0616A" w:rsidP="00B0616A">
            <w:pPr>
              <w:tabs>
                <w:tab w:val="left" w:pos="129"/>
              </w:tabs>
              <w:spacing w:after="20"/>
              <w:ind w:left="135" w:right="120" w:hanging="17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Закону України «Про державну службу»;</w:t>
            </w:r>
          </w:p>
          <w:p w14:paraId="02113C76" w14:textId="77777777" w:rsidR="00B0616A" w:rsidRPr="00B0616A" w:rsidRDefault="00B0616A" w:rsidP="00B0616A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 xml:space="preserve">  - Закону України «Про запобігання корупції»;</w:t>
            </w:r>
          </w:p>
          <w:p w14:paraId="6A493F46" w14:textId="77777777" w:rsidR="00B0616A" w:rsidRPr="00B0616A" w:rsidRDefault="00B0616A" w:rsidP="00B0616A">
            <w:pPr>
              <w:tabs>
                <w:tab w:val="left" w:pos="412"/>
              </w:tabs>
              <w:spacing w:after="20"/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Закону України «Про основні засади здійснення державного фінансового контролю в Україні»;</w:t>
            </w:r>
          </w:p>
          <w:p w14:paraId="170D5A6B" w14:textId="77777777" w:rsidR="00B0616A" w:rsidRPr="00B0616A" w:rsidRDefault="00B0616A" w:rsidP="00B0616A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Закону України «Про публічні закупівлі»;</w:t>
            </w:r>
          </w:p>
          <w:p w14:paraId="76527A42" w14:textId="77777777" w:rsidR="00B0616A" w:rsidRPr="00B0616A" w:rsidRDefault="00B0616A" w:rsidP="00B0616A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Закону України «Про доступ до публічної інформації»;</w:t>
            </w:r>
          </w:p>
          <w:p w14:paraId="55292971" w14:textId="77777777" w:rsidR="00B0616A" w:rsidRPr="00B0616A" w:rsidRDefault="00B0616A" w:rsidP="00B0616A">
            <w:pPr>
              <w:tabs>
                <w:tab w:val="left" w:pos="412"/>
              </w:tabs>
              <w:spacing w:after="20"/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 Закону України «Про звернення громадян»;</w:t>
            </w:r>
          </w:p>
          <w:p w14:paraId="2727AA72" w14:textId="77777777" w:rsidR="00B0616A" w:rsidRPr="00B0616A" w:rsidRDefault="00B0616A" w:rsidP="00B0616A">
            <w:pPr>
              <w:tabs>
                <w:tab w:val="left" w:pos="412"/>
              </w:tabs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 xml:space="preserve">- Порядку проведення інспектування Державною аудиторської службою, її міжрегіональними територіальними органами, затвердженого постановою Кабінету Міністрів України від 20 квітня 2006 року </w:t>
            </w:r>
          </w:p>
          <w:p w14:paraId="37C29B73" w14:textId="77777777" w:rsidR="00B0616A" w:rsidRPr="00B0616A" w:rsidRDefault="00B0616A" w:rsidP="00B0616A">
            <w:pPr>
              <w:tabs>
                <w:tab w:val="left" w:pos="412"/>
              </w:tabs>
              <w:ind w:left="135" w:right="125" w:hanging="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№ 550;</w:t>
            </w:r>
          </w:p>
          <w:p w14:paraId="3FD261EB" w14:textId="77777777" w:rsidR="00B0616A" w:rsidRPr="00B0616A" w:rsidRDefault="00B0616A" w:rsidP="00B0616A">
            <w:pPr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 xml:space="preserve">  - наказу Державної аудиторської служби України від </w:t>
            </w:r>
          </w:p>
          <w:p w14:paraId="2AB2DCFF" w14:textId="24E3B57F" w:rsidR="00427C93" w:rsidRPr="00B0616A" w:rsidRDefault="00B0616A" w:rsidP="00B0616A">
            <w:pPr>
              <w:ind w:left="121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02 червня 2016 року № 23 «Про затвердження положень про офіси Д</w:t>
            </w:r>
            <w:r>
              <w:rPr>
                <w:color w:val="000000" w:themeColor="text1"/>
                <w:lang w:val="uk-UA"/>
              </w:rPr>
              <w:t>ержаудитслужби та їх підрозділи</w:t>
            </w:r>
            <w:r w:rsidRPr="00B0616A">
              <w:rPr>
                <w:color w:val="000000" w:themeColor="text1"/>
                <w:lang w:val="uk-UA"/>
              </w:rPr>
              <w:t>»</w:t>
            </w:r>
          </w:p>
        </w:tc>
      </w:tr>
      <w:tr w:rsidR="00427C93" w:rsidRPr="00B0616A" w14:paraId="270BC421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D4F" w14:textId="77777777" w:rsidR="00427C93" w:rsidRPr="00B0616A" w:rsidRDefault="00427C93" w:rsidP="0048441A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1BE8" w14:textId="3DA8706A" w:rsidR="00427C93" w:rsidRPr="00B0616A" w:rsidRDefault="00F12BF0" w:rsidP="0048441A">
            <w:pPr>
              <w:ind w:left="5"/>
              <w:rPr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Аналітичні здібності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173A" w14:textId="24DEE602" w:rsidR="00F12BF0" w:rsidRPr="00B0616A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 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6FCEC6E3" w14:textId="6C53FC7C" w:rsidR="00F12BF0" w:rsidRPr="00B0616A" w:rsidRDefault="00F12BF0" w:rsidP="00F12BF0">
            <w:pPr>
              <w:widowControl w:val="0"/>
              <w:tabs>
                <w:tab w:val="left" w:pos="431"/>
                <w:tab w:val="left" w:pos="1476"/>
                <w:tab w:val="left" w:pos="3509"/>
              </w:tabs>
              <w:ind w:left="148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 вміння встановлювати причинно-наслідкові зв’язки;</w:t>
            </w:r>
          </w:p>
          <w:p w14:paraId="14548AC3" w14:textId="77777777" w:rsidR="00427C93" w:rsidRPr="00B0616A" w:rsidRDefault="00F12BF0" w:rsidP="00F12BF0">
            <w:pPr>
              <w:ind w:left="148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lastRenderedPageBreak/>
              <w:t>- вміння аналізувати інформацію та робити висновки, критично оцінювати ситуації, прогнозувати та робити власні умовиводи</w:t>
            </w:r>
          </w:p>
          <w:p w14:paraId="77843C57" w14:textId="5FD1F298" w:rsidR="004803E9" w:rsidRPr="00B0616A" w:rsidRDefault="004803E9" w:rsidP="00F12BF0">
            <w:pPr>
              <w:ind w:left="148"/>
              <w:jc w:val="both"/>
              <w:rPr>
                <w:lang w:val="uk-UA"/>
              </w:rPr>
            </w:pPr>
          </w:p>
        </w:tc>
      </w:tr>
      <w:tr w:rsidR="00427C93" w:rsidRPr="00B0616A" w14:paraId="25A1C8DD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D66" w14:textId="77777777" w:rsidR="00427C93" w:rsidRPr="00B0616A" w:rsidRDefault="00427C93" w:rsidP="0048441A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981" w14:textId="414768BD" w:rsidR="00427C93" w:rsidRPr="00B0616A" w:rsidRDefault="00F12BF0" w:rsidP="0048441A">
            <w:pPr>
              <w:ind w:left="5"/>
              <w:rPr>
                <w:lang w:val="uk-UA"/>
              </w:rPr>
            </w:pPr>
            <w:r w:rsidRPr="00B0616A">
              <w:rPr>
                <w:color w:val="000000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D56" w14:textId="77777777" w:rsidR="00F12BF0" w:rsidRPr="00B0616A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 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11EB70EA" w14:textId="77777777" w:rsidR="00F12BF0" w:rsidRPr="00B0616A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 здатність до самомотивації (самоуправління);</w:t>
            </w:r>
          </w:p>
          <w:p w14:paraId="08F72718" w14:textId="77777777" w:rsidR="00427C93" w:rsidRPr="00B0616A" w:rsidRDefault="00F12BF0" w:rsidP="00F12BF0">
            <w:pPr>
              <w:ind w:left="148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 вміння самостійно приймати рішення і виконувати завдання у процесі професійної діяльності</w:t>
            </w:r>
          </w:p>
          <w:p w14:paraId="7A262D38" w14:textId="0A5C10A4" w:rsidR="004803E9" w:rsidRPr="00B0616A" w:rsidRDefault="004803E9" w:rsidP="00F12BF0">
            <w:pPr>
              <w:ind w:left="148"/>
              <w:jc w:val="both"/>
              <w:rPr>
                <w:lang w:val="uk-UA"/>
              </w:rPr>
            </w:pPr>
          </w:p>
        </w:tc>
      </w:tr>
      <w:tr w:rsidR="00F12BF0" w:rsidRPr="007B5661" w14:paraId="544E1957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A9E6" w14:textId="4F393C6E" w:rsidR="00F12BF0" w:rsidRPr="00B0616A" w:rsidRDefault="00AE7D04" w:rsidP="00F12BF0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5B7" w14:textId="425F8820" w:rsidR="00F12BF0" w:rsidRPr="00B0616A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778" w14:textId="77777777" w:rsidR="00F12BF0" w:rsidRPr="00B0616A" w:rsidRDefault="00F12BF0" w:rsidP="00F12BF0">
            <w:pPr>
              <w:widowControl w:val="0"/>
              <w:tabs>
                <w:tab w:val="left" w:pos="527"/>
                <w:tab w:val="left" w:pos="1802"/>
                <w:tab w:val="left" w:pos="3210"/>
                <w:tab w:val="left" w:pos="4332"/>
                <w:tab w:val="left" w:pos="5770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 чітке і точне формулювання мети, цілей і завдань службової діяльності;</w:t>
            </w:r>
          </w:p>
          <w:p w14:paraId="2A896A40" w14:textId="77777777" w:rsidR="00F12BF0" w:rsidRPr="00B0616A" w:rsidRDefault="00F12BF0" w:rsidP="00F12BF0">
            <w:pPr>
              <w:widowControl w:val="0"/>
              <w:tabs>
                <w:tab w:val="left" w:pos="527"/>
                <w:tab w:val="left" w:pos="1802"/>
                <w:tab w:val="left" w:pos="3210"/>
                <w:tab w:val="left" w:pos="4332"/>
                <w:tab w:val="left" w:pos="5770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 комплексний підхід до виконання завдань, виявлення ризиків;</w:t>
            </w:r>
          </w:p>
          <w:p w14:paraId="74298177" w14:textId="77777777" w:rsidR="00F12BF0" w:rsidRPr="00B0616A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 розуміння змісту завдання і його кінцевих результатів, самостійне визначення можливих шляхів вирішення</w:t>
            </w:r>
          </w:p>
          <w:p w14:paraId="27FA9C62" w14:textId="0CA36A16" w:rsidR="004803E9" w:rsidRPr="00B0616A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  <w:tr w:rsidR="00F12BF0" w:rsidRPr="00B0616A" w14:paraId="37524C93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F16" w14:textId="61D01CB4" w:rsidR="00F12BF0" w:rsidRPr="00B0616A" w:rsidRDefault="00AE7D04" w:rsidP="00F12BF0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AB7E" w14:textId="33BC66B4" w:rsidR="00F12BF0" w:rsidRPr="00B0616A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054" w14:textId="77777777" w:rsidR="00F12BF0" w:rsidRPr="00B0616A" w:rsidRDefault="00F12BF0" w:rsidP="00F12BF0">
            <w:pPr>
              <w:widowControl w:val="0"/>
              <w:numPr>
                <w:ilvl w:val="0"/>
                <w:numId w:val="1"/>
              </w:numP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14:paraId="31F6E7A9" w14:textId="77777777" w:rsidR="00F12BF0" w:rsidRPr="00B0616A" w:rsidRDefault="00F12BF0" w:rsidP="00F12BF0">
            <w:pPr>
              <w:widowControl w:val="0"/>
              <w:tabs>
                <w:tab w:val="left" w:pos="271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 орієнтація на командний результат;</w:t>
            </w:r>
          </w:p>
          <w:p w14:paraId="6821FC82" w14:textId="77777777" w:rsidR="00F12BF0" w:rsidRPr="00B0616A" w:rsidRDefault="00F12BF0" w:rsidP="00F12BF0">
            <w:pPr>
              <w:widowControl w:val="0"/>
              <w:numPr>
                <w:ilvl w:val="0"/>
                <w:numId w:val="1"/>
              </w:numP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1F88CC3F" w14:textId="77777777" w:rsidR="00F12BF0" w:rsidRPr="00B0616A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B0616A">
              <w:rPr>
                <w:color w:val="000000"/>
                <w:lang w:val="uk-UA"/>
              </w:rPr>
              <w:t>- відкритість в обміні інформацією</w:t>
            </w:r>
          </w:p>
          <w:p w14:paraId="6429EC12" w14:textId="7758AA43" w:rsidR="004803E9" w:rsidRPr="00B0616A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  <w:tr w:rsidR="00F12BF0" w:rsidRPr="00B0616A" w14:paraId="7394B76C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96D" w14:textId="07EA0FF1" w:rsidR="00F12BF0" w:rsidRPr="00B0616A" w:rsidRDefault="00AE7D04" w:rsidP="00F12BF0">
            <w:pPr>
              <w:jc w:val="center"/>
              <w:rPr>
                <w:lang w:val="uk-UA"/>
              </w:rPr>
            </w:pPr>
            <w:r w:rsidRPr="00B0616A">
              <w:rPr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F76" w14:textId="237CD471" w:rsidR="00F12BF0" w:rsidRPr="00B0616A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Відповідальність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9D4" w14:textId="77777777" w:rsidR="00F12BF0" w:rsidRPr="00B0616A" w:rsidRDefault="00F12BF0" w:rsidP="00F12BF0">
            <w:pPr>
              <w:tabs>
                <w:tab w:val="left" w:pos="612"/>
              </w:tabs>
              <w:ind w:left="133" w:right="125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0CF5D507" w14:textId="77777777" w:rsidR="00F12BF0" w:rsidRPr="00B0616A" w:rsidRDefault="00F12BF0" w:rsidP="00F12BF0">
            <w:pPr>
              <w:tabs>
                <w:tab w:val="left" w:pos="612"/>
              </w:tabs>
              <w:ind w:left="133" w:right="125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30DDFD52" w14:textId="77777777" w:rsidR="00F12BF0" w:rsidRPr="00B0616A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 w:themeColor="text1"/>
                <w:lang w:val="uk-UA"/>
              </w:rPr>
            </w:pPr>
            <w:r w:rsidRPr="00B0616A">
              <w:rPr>
                <w:color w:val="000000" w:themeColor="text1"/>
                <w:lang w:val="uk-UA"/>
              </w:rPr>
              <w:t>- здатність брати на себе зобов’язання, чітко їх дотримуватись і виконувати</w:t>
            </w:r>
          </w:p>
          <w:p w14:paraId="43E64292" w14:textId="5E1042C2" w:rsidR="004803E9" w:rsidRPr="00B0616A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</w:tbl>
    <w:p w14:paraId="4AA38227" w14:textId="77777777" w:rsidR="00427C93" w:rsidRPr="00B0616A" w:rsidRDefault="00427C93" w:rsidP="00427C93">
      <w:pPr>
        <w:ind w:right="98"/>
        <w:jc w:val="center"/>
        <w:rPr>
          <w:lang w:val="uk-UA"/>
        </w:rPr>
      </w:pPr>
      <w:r w:rsidRPr="00B0616A">
        <w:rPr>
          <w:lang w:val="uk-UA"/>
        </w:rPr>
        <w:t xml:space="preserve"> </w:t>
      </w:r>
    </w:p>
    <w:p w14:paraId="4967C810" w14:textId="77777777" w:rsidR="00A40972" w:rsidRPr="00B0616A" w:rsidRDefault="00A40972">
      <w:pPr>
        <w:rPr>
          <w:lang w:val="uk-UA"/>
        </w:rPr>
      </w:pPr>
    </w:p>
    <w:sectPr w:rsidR="00A40972" w:rsidRPr="00B0616A" w:rsidSect="00427C93">
      <w:pgSz w:w="11906" w:h="16838"/>
      <w:pgMar w:top="709" w:right="567" w:bottom="1134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23EE4"/>
    <w:multiLevelType w:val="hybridMultilevel"/>
    <w:tmpl w:val="4104CA60"/>
    <w:lvl w:ilvl="0" w:tplc="0D6EB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3"/>
    <w:rsid w:val="000C7A41"/>
    <w:rsid w:val="00150788"/>
    <w:rsid w:val="001609E2"/>
    <w:rsid w:val="001773B7"/>
    <w:rsid w:val="001E06E1"/>
    <w:rsid w:val="001F4FA8"/>
    <w:rsid w:val="002200A1"/>
    <w:rsid w:val="00265703"/>
    <w:rsid w:val="002C1048"/>
    <w:rsid w:val="002E6BC6"/>
    <w:rsid w:val="0030025A"/>
    <w:rsid w:val="003350F3"/>
    <w:rsid w:val="00336B07"/>
    <w:rsid w:val="003526E8"/>
    <w:rsid w:val="00353DAD"/>
    <w:rsid w:val="003C19EB"/>
    <w:rsid w:val="003C1A52"/>
    <w:rsid w:val="00427C93"/>
    <w:rsid w:val="00472C8F"/>
    <w:rsid w:val="004803E9"/>
    <w:rsid w:val="004C57E3"/>
    <w:rsid w:val="004C6BAD"/>
    <w:rsid w:val="004D341B"/>
    <w:rsid w:val="004D36AD"/>
    <w:rsid w:val="004F3832"/>
    <w:rsid w:val="005346F1"/>
    <w:rsid w:val="005457AB"/>
    <w:rsid w:val="00566E93"/>
    <w:rsid w:val="005772D5"/>
    <w:rsid w:val="005D3C25"/>
    <w:rsid w:val="005D6341"/>
    <w:rsid w:val="005F7FC3"/>
    <w:rsid w:val="00634360"/>
    <w:rsid w:val="006348E2"/>
    <w:rsid w:val="006D5C12"/>
    <w:rsid w:val="00722A33"/>
    <w:rsid w:val="00746881"/>
    <w:rsid w:val="007B1332"/>
    <w:rsid w:val="007B3B73"/>
    <w:rsid w:val="007B5661"/>
    <w:rsid w:val="0085214C"/>
    <w:rsid w:val="008859D6"/>
    <w:rsid w:val="008B413D"/>
    <w:rsid w:val="008B4731"/>
    <w:rsid w:val="008B566A"/>
    <w:rsid w:val="009934B3"/>
    <w:rsid w:val="009C2C7A"/>
    <w:rsid w:val="009C2CBC"/>
    <w:rsid w:val="009D6329"/>
    <w:rsid w:val="00A40972"/>
    <w:rsid w:val="00A5740C"/>
    <w:rsid w:val="00A832C7"/>
    <w:rsid w:val="00AE7D04"/>
    <w:rsid w:val="00B0616A"/>
    <w:rsid w:val="00B570D4"/>
    <w:rsid w:val="00BB3392"/>
    <w:rsid w:val="00BF792C"/>
    <w:rsid w:val="00C72121"/>
    <w:rsid w:val="00C81104"/>
    <w:rsid w:val="00C93E46"/>
    <w:rsid w:val="00CF0D44"/>
    <w:rsid w:val="00D1690F"/>
    <w:rsid w:val="00D5783A"/>
    <w:rsid w:val="00D633D6"/>
    <w:rsid w:val="00D67CB3"/>
    <w:rsid w:val="00DA1E6B"/>
    <w:rsid w:val="00DA559E"/>
    <w:rsid w:val="00DD77F1"/>
    <w:rsid w:val="00DE67C5"/>
    <w:rsid w:val="00E10F07"/>
    <w:rsid w:val="00E36337"/>
    <w:rsid w:val="00E6398D"/>
    <w:rsid w:val="00EB538C"/>
    <w:rsid w:val="00F12BF0"/>
    <w:rsid w:val="00F32815"/>
    <w:rsid w:val="00F5783F"/>
    <w:rsid w:val="00FC0F25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B60"/>
  <w15:chartTrackingRefBased/>
  <w15:docId w15:val="{21AD484C-BD51-451E-9DCD-B485762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27C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rsid w:val="00427C93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1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Нормальний текст"/>
    <w:basedOn w:val="a"/>
    <w:rsid w:val="007B1332"/>
    <w:pPr>
      <w:spacing w:before="120" w:line="276" w:lineRule="auto"/>
      <w:ind w:firstLine="567"/>
      <w:jc w:val="both"/>
    </w:pPr>
    <w:rPr>
      <w:sz w:val="28"/>
      <w:szCs w:val="20"/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7B13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12BF0"/>
    <w:pPr>
      <w:ind w:left="720"/>
      <w:contextualSpacing/>
    </w:pPr>
  </w:style>
  <w:style w:type="character" w:customStyle="1" w:styleId="Bodytext">
    <w:name w:val="Body text_"/>
    <w:basedOn w:val="a0"/>
    <w:link w:val="10"/>
    <w:locked/>
    <w:rsid w:val="008B566A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8B566A"/>
    <w:pPr>
      <w:shd w:val="clear" w:color="auto" w:fill="FFFFFF"/>
      <w:spacing w:line="33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8">
    <w:name w:val="Font Style8"/>
    <w:rsid w:val="003C19EB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o.chikalova@das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u_19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o.chikalova@dasu.gov.ua" TargetMode="External"/><Relationship Id="rId5" Type="http://schemas.openxmlformats.org/officeDocument/2006/relationships/hyperlink" Target="mailto:kadru_19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5810</Words>
  <Characters>3312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2024-02-15T10:57:00Z</cp:lastPrinted>
  <dcterms:created xsi:type="dcterms:W3CDTF">2025-03-24T09:27:00Z</dcterms:created>
  <dcterms:modified xsi:type="dcterms:W3CDTF">2026-03-08T13:38:00Z</dcterms:modified>
</cp:coreProperties>
</file>